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12" w:rsidRDefault="00D77812" w:rsidP="00D77812">
      <w:pPr>
        <w:pStyle w:val="s7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DC547C">
        <w:rPr>
          <w:b/>
          <w:color w:val="22272F"/>
          <w:sz w:val="28"/>
          <w:szCs w:val="28"/>
        </w:rPr>
        <w:t>Медицинский осмотр при приеме на работу несовершеннолетних работников</w:t>
      </w:r>
    </w:p>
    <w:p w:rsidR="00DC547C" w:rsidRPr="00DC547C" w:rsidRDefault="00DC547C" w:rsidP="00D77812">
      <w:pPr>
        <w:pStyle w:val="s71"/>
        <w:shd w:val="clear" w:color="auto" w:fill="FFFFFF"/>
        <w:jc w:val="center"/>
        <w:rPr>
          <w:b/>
          <w:color w:val="22272F"/>
          <w:sz w:val="28"/>
          <w:szCs w:val="28"/>
        </w:rPr>
      </w:pPr>
      <w:bookmarkStart w:id="0" w:name="_GoBack"/>
      <w:bookmarkEnd w:id="0"/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proofErr w:type="gramStart"/>
      <w:r w:rsidRPr="00DC547C">
        <w:t>Лица, не достигшие возраста 18 лет, при заключении трудового договора подлежат обязательному предварительному </w:t>
      </w:r>
      <w:hyperlink r:id="rId5" w:anchor="/document/12191967/entry/46" w:history="1">
        <w:r w:rsidRPr="00DC547C">
          <w:rPr>
            <w:rStyle w:val="a3"/>
            <w:color w:val="auto"/>
            <w:u w:val="none"/>
          </w:rPr>
          <w:t>медицинскому осмотру</w:t>
        </w:r>
      </w:hyperlink>
      <w:r w:rsidRPr="00DC547C">
        <w:t> (</w:t>
      </w:r>
      <w:proofErr w:type="spellStart"/>
      <w:r w:rsidR="00DC547C" w:rsidRPr="00DC547C">
        <w:fldChar w:fldCharType="begin"/>
      </w:r>
      <w:r w:rsidR="00DC547C" w:rsidRPr="00DC547C">
        <w:instrText xml:space="preserve"> HYPERLINK "https://internet.garant.ru/" \l "/document/12125268/entry/69"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ст.ст</w:t>
      </w:r>
      <w:proofErr w:type="spellEnd"/>
      <w:r w:rsidRPr="00DC547C">
        <w:rPr>
          <w:rStyle w:val="a3"/>
          <w:color w:val="auto"/>
          <w:u w:val="none"/>
        </w:rPr>
        <w:t>. 69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 и </w:t>
      </w:r>
      <w:hyperlink r:id="rId6" w:anchor="/document/12125268/entry/266" w:history="1">
        <w:r w:rsidRPr="00DC547C">
          <w:rPr>
            <w:rStyle w:val="a3"/>
            <w:color w:val="auto"/>
            <w:u w:val="none"/>
          </w:rPr>
          <w:t>266</w:t>
        </w:r>
      </w:hyperlink>
      <w:r w:rsidRPr="00DC547C">
        <w:t> ТК РФ, </w:t>
      </w:r>
      <w:hyperlink r:id="rId7" w:anchor="/document/70578102/entry/8" w:history="1">
        <w:r w:rsidRPr="00DC547C">
          <w:rPr>
            <w:rStyle w:val="a3"/>
            <w:color w:val="auto"/>
            <w:u w:val="none"/>
          </w:rPr>
          <w:t>п. 8</w:t>
        </w:r>
      </w:hyperlink>
      <w:r w:rsidRPr="00DC547C">
        <w:t> Постановления ВС РФ N 1, </w:t>
      </w:r>
      <w:proofErr w:type="spellStart"/>
      <w:r w:rsidR="00DC547C" w:rsidRPr="00DC547C">
        <w:fldChar w:fldCharType="begin"/>
      </w:r>
      <w:r w:rsidR="00DC547C" w:rsidRPr="00DC547C">
        <w:instrText xml:space="preserve"> HYPERLINK "https://internet.garant.ru/" \l "/document/12170784/entry/1031"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абз</w:t>
      </w:r>
      <w:proofErr w:type="spellEnd"/>
      <w:r w:rsidRPr="00DC547C">
        <w:rPr>
          <w:rStyle w:val="a3"/>
          <w:color w:val="auto"/>
          <w:u w:val="none"/>
        </w:rPr>
        <w:t>. 1 п. 3.1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 СанПиН 2.4.6.2553-09, утв. </w:t>
      </w:r>
      <w:hyperlink r:id="rId8" w:anchor="/document/12170784/entry/0" w:history="1">
        <w:r w:rsidRPr="00DC547C">
          <w:rPr>
            <w:rStyle w:val="a3"/>
            <w:color w:val="auto"/>
            <w:u w:val="none"/>
          </w:rPr>
          <w:t>постановлением</w:t>
        </w:r>
      </w:hyperlink>
      <w:r w:rsidRPr="00DC547C">
        <w:t> Главного государственного санитарного врача РФ от 30.09.2009 N 58, далее - СанПиН 2.4.6. 2553-09).</w:t>
      </w:r>
      <w:proofErr w:type="gramEnd"/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proofErr w:type="gramStart"/>
      <w:r w:rsidRPr="00DC547C">
        <w:t>Прием несовершеннолетних работников на работу производится исключительно после прохождения обязательного предварительного медицинского осмотра в соответствии с </w:t>
      </w:r>
      <w:hyperlink r:id="rId9" w:anchor="/document/12191202/entry/3000" w:history="1">
        <w:r w:rsidRPr="00DC547C">
          <w:rPr>
            <w:rStyle w:val="a3"/>
            <w:color w:val="auto"/>
            <w:u w:val="none"/>
          </w:rPr>
          <w:t>Порядком</w:t>
        </w:r>
      </w:hyperlink>
      <w:r w:rsidRPr="00DC547C">
        <w:t> 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утв. </w:t>
      </w:r>
      <w:hyperlink r:id="rId10" w:anchor="/document/12191202/entry/0" w:history="1">
        <w:r w:rsidRPr="00DC547C">
          <w:rPr>
            <w:rStyle w:val="a3"/>
            <w:color w:val="auto"/>
            <w:u w:val="none"/>
          </w:rPr>
          <w:t>приказом</w:t>
        </w:r>
      </w:hyperlink>
      <w:r w:rsidRPr="00DC547C">
        <w:t> </w:t>
      </w:r>
      <w:proofErr w:type="spellStart"/>
      <w:r w:rsidRPr="00DC547C">
        <w:t>Минздравсоцразвития</w:t>
      </w:r>
      <w:proofErr w:type="spellEnd"/>
      <w:r w:rsidRPr="00DC547C">
        <w:t xml:space="preserve"> РФ от 12.04.2011 N 302н (далее - Порядок).</w:t>
      </w:r>
      <w:proofErr w:type="gramEnd"/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Как установлено </w:t>
      </w:r>
      <w:proofErr w:type="spellStart"/>
      <w:r w:rsidR="00DC547C" w:rsidRPr="00DC547C">
        <w:fldChar w:fldCharType="begin"/>
      </w:r>
      <w:r w:rsidR="00DC547C" w:rsidRPr="00DC547C">
        <w:instrText xml:space="preserve"> HYPERLINK "https://internet.garant.ru/" \l "/document/12191202/entry/3007"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п.п</w:t>
      </w:r>
      <w:proofErr w:type="spellEnd"/>
      <w:r w:rsidRPr="00DC547C">
        <w:rPr>
          <w:rStyle w:val="a3"/>
          <w:color w:val="auto"/>
          <w:u w:val="none"/>
        </w:rPr>
        <w:t>. 7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 и </w:t>
      </w:r>
      <w:hyperlink r:id="rId11" w:anchor="/document/12191202/entry/3008" w:history="1">
        <w:r w:rsidRPr="00DC547C">
          <w:rPr>
            <w:rStyle w:val="a3"/>
            <w:color w:val="auto"/>
            <w:u w:val="none"/>
          </w:rPr>
          <w:t>8</w:t>
        </w:r>
      </w:hyperlink>
      <w:r w:rsidRPr="00DC547C">
        <w:t xml:space="preserve"> Порядка, предварительные осмотры проводятся при поступлении на работу на основании направления на медицинский осмотр, выданного под роспись лицу, поступающему на работу, работодателем. Медицинские требования к состоянию здоровья несовершеннолетнего работника и объем необходимых исследований определяются в порядке, установленном </w:t>
      </w:r>
      <w:proofErr w:type="spellStart"/>
      <w:r w:rsidRPr="00DC547C">
        <w:t>Минздравсоцразвития</w:t>
      </w:r>
      <w:proofErr w:type="spellEnd"/>
      <w:r w:rsidRPr="00DC547C">
        <w:t xml:space="preserve"> РФ (</w:t>
      </w:r>
      <w:hyperlink r:id="rId12" w:anchor="/document/12170784/entry/1032" w:history="1">
        <w:r w:rsidRPr="00DC547C">
          <w:rPr>
            <w:rStyle w:val="a3"/>
            <w:color w:val="auto"/>
            <w:u w:val="none"/>
          </w:rPr>
          <w:t>п. 3.2</w:t>
        </w:r>
      </w:hyperlink>
      <w:r w:rsidRPr="00DC547C">
        <w:t> СанПиН 2.4.6.2553-09).</w:t>
      </w:r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Согласно </w:t>
      </w:r>
      <w:hyperlink r:id="rId13" w:anchor="/document/12191202/entry/3014" w:history="1">
        <w:r w:rsidRPr="00DC547C">
          <w:rPr>
            <w:rStyle w:val="a3"/>
            <w:color w:val="auto"/>
            <w:u w:val="none"/>
          </w:rPr>
          <w:t>п. 14</w:t>
        </w:r>
      </w:hyperlink>
      <w:r w:rsidRPr="00DC547C">
        <w:t> Порядка по окончании прохождения предварительного (периодического) медицинского осмотра лицом, поступающим на работу, медицинской организацией в соответствии с </w:t>
      </w:r>
      <w:proofErr w:type="spellStart"/>
      <w:r w:rsidR="00DC547C" w:rsidRPr="00DC547C">
        <w:fldChar w:fldCharType="begin"/>
      </w:r>
      <w:r w:rsidR="00DC547C" w:rsidRPr="00DC547C">
        <w:instrText xml:space="preserve"> HYPERLINK "https://internet.garant.ru/" \l "/document/12191202/entry/3012"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п.п</w:t>
      </w:r>
      <w:proofErr w:type="spellEnd"/>
      <w:r w:rsidRPr="00DC547C">
        <w:rPr>
          <w:rStyle w:val="a3"/>
          <w:color w:val="auto"/>
          <w:u w:val="none"/>
        </w:rPr>
        <w:t>. 12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 и </w:t>
      </w:r>
      <w:hyperlink r:id="rId14" w:anchor="/document/12191202/entry/3013" w:history="1">
        <w:r w:rsidRPr="00DC547C">
          <w:rPr>
            <w:rStyle w:val="a3"/>
            <w:color w:val="auto"/>
            <w:u w:val="none"/>
          </w:rPr>
          <w:t>13</w:t>
        </w:r>
      </w:hyperlink>
      <w:r w:rsidRPr="00DC547C">
        <w:t> Порядка оформляется </w:t>
      </w:r>
      <w:hyperlink r:id="rId15" w:anchor="/document/12191202/entry/30000" w:history="1">
        <w:r w:rsidRPr="00DC547C">
          <w:rPr>
            <w:rStyle w:val="a3"/>
            <w:color w:val="auto"/>
            <w:u w:val="none"/>
          </w:rPr>
          <w:t>заключение</w:t>
        </w:r>
      </w:hyperlink>
      <w:r w:rsidRPr="00DC547C">
        <w:t> по форме Приложения N 3 к </w:t>
      </w:r>
      <w:hyperlink r:id="rId16" w:anchor="/document/12191202/entry/0" w:history="1">
        <w:r w:rsidRPr="00DC547C">
          <w:rPr>
            <w:rStyle w:val="a3"/>
            <w:color w:val="auto"/>
            <w:u w:val="none"/>
          </w:rPr>
          <w:t>приказу</w:t>
        </w:r>
      </w:hyperlink>
      <w:r w:rsidRPr="00DC547C">
        <w:t> </w:t>
      </w:r>
      <w:proofErr w:type="spellStart"/>
      <w:r w:rsidRPr="00DC547C">
        <w:t>Минздравсоцразвития</w:t>
      </w:r>
      <w:proofErr w:type="spellEnd"/>
      <w:r w:rsidRPr="00DC547C">
        <w:t xml:space="preserve"> РФ от 12.04.2011 N 302н.</w:t>
      </w:r>
    </w:p>
    <w:p w:rsid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В то же время для несовершеннолетних, поступающих на работу в возрасте 15 - 17 лет, документом о профессиональной пригодности является справка по </w:t>
      </w:r>
      <w:hyperlink r:id="rId17" w:anchor="/document/70877304/entry/178" w:history="1">
        <w:r w:rsidRPr="00DC547C">
          <w:rPr>
            <w:rStyle w:val="a3"/>
            <w:color w:val="auto"/>
            <w:u w:val="none"/>
          </w:rPr>
          <w:t>форме 086/у</w:t>
        </w:r>
      </w:hyperlink>
      <w:r w:rsidRPr="00DC547C">
        <w:t>, которая утверждена </w:t>
      </w:r>
      <w:hyperlink r:id="rId18" w:anchor="/document/70877304/entry/0" w:history="1">
        <w:r w:rsidRPr="00DC547C">
          <w:rPr>
            <w:rStyle w:val="a3"/>
            <w:color w:val="auto"/>
            <w:u w:val="none"/>
          </w:rPr>
          <w:t>приказом</w:t>
        </w:r>
      </w:hyperlink>
      <w:r w:rsidRPr="00DC547C">
        <w:t> Минздрава России от 15.12.2014 N 834н. Это следует из </w:t>
      </w:r>
      <w:proofErr w:type="spellStart"/>
      <w:r w:rsidR="00DC547C" w:rsidRPr="00DC547C">
        <w:fldChar w:fldCharType="begin"/>
      </w:r>
      <w:r w:rsidR="00DC547C" w:rsidRPr="00DC547C">
        <w:instrText xml:space="preserve"> HYPERLINK "https://internet.garant.ru/" \l "/document/70877304/entry/179"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п.п</w:t>
      </w:r>
      <w:proofErr w:type="spellEnd"/>
      <w:r w:rsidRPr="00DC547C">
        <w:rPr>
          <w:rStyle w:val="a3"/>
          <w:color w:val="auto"/>
          <w:u w:val="none"/>
        </w:rPr>
        <w:t>. 1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, </w:t>
      </w:r>
      <w:hyperlink r:id="rId19" w:anchor="/document/70877304/entry/183" w:history="1">
        <w:r w:rsidRPr="00DC547C">
          <w:rPr>
            <w:rStyle w:val="a3"/>
            <w:color w:val="auto"/>
            <w:u w:val="none"/>
          </w:rPr>
          <w:t>2.4</w:t>
        </w:r>
      </w:hyperlink>
      <w:r w:rsidRPr="00DC547C">
        <w:t>, </w:t>
      </w:r>
      <w:hyperlink r:id="rId20" w:anchor="/document/70877304/entry/184" w:history="1">
        <w:r w:rsidRPr="00DC547C">
          <w:rPr>
            <w:rStyle w:val="a3"/>
            <w:color w:val="auto"/>
            <w:u w:val="none"/>
          </w:rPr>
          <w:t>2.5</w:t>
        </w:r>
      </w:hyperlink>
      <w:r w:rsidRPr="00DC547C">
        <w:t> Порядка заполнения учетной формы N 086/у, утв. </w:t>
      </w:r>
      <w:hyperlink r:id="rId21" w:anchor="/document/70877304/entry/0" w:history="1">
        <w:r w:rsidRPr="00DC547C">
          <w:rPr>
            <w:rStyle w:val="a3"/>
            <w:color w:val="auto"/>
            <w:u w:val="none"/>
          </w:rPr>
          <w:t>приказом</w:t>
        </w:r>
      </w:hyperlink>
      <w:r w:rsidRPr="00DC547C">
        <w:t> Минздрава России от 15.12.2014 N 834н. Аналогичные разъяснения даны в </w:t>
      </w:r>
      <w:hyperlink r:id="rId22" w:anchor="/document/71895624/entry/0" w:history="1">
        <w:r w:rsidRPr="00DC547C">
          <w:rPr>
            <w:rStyle w:val="a3"/>
            <w:color w:val="auto"/>
            <w:u w:val="none"/>
          </w:rPr>
          <w:t>письме</w:t>
        </w:r>
      </w:hyperlink>
      <w:r w:rsidRPr="00DC547C">
        <w:t xml:space="preserve"> Федерального бюро </w:t>
      </w:r>
      <w:proofErr w:type="gramStart"/>
      <w:r w:rsidRPr="00DC547C">
        <w:t>медико-социальной</w:t>
      </w:r>
      <w:proofErr w:type="gramEnd"/>
      <w:r w:rsidRPr="00DC547C">
        <w:t xml:space="preserve"> экспертизы от 29.01.2018 N 2716/2018 и </w:t>
      </w:r>
      <w:hyperlink r:id="rId23" w:anchor="/multilink/58072654/paragraph/6/number/7" w:history="1">
        <w:r w:rsidRPr="00DC547C">
          <w:rPr>
            <w:rStyle w:val="a3"/>
            <w:color w:val="auto"/>
            <w:u w:val="none"/>
          </w:rPr>
          <w:t>ответах</w:t>
        </w:r>
      </w:hyperlink>
      <w:r w:rsidRPr="00DC547C">
        <w:t xml:space="preserve"> специалистов </w:t>
      </w:r>
      <w:proofErr w:type="spellStart"/>
      <w:r w:rsidRPr="00DC547C">
        <w:t>Роструда</w:t>
      </w:r>
      <w:proofErr w:type="spellEnd"/>
      <w:r w:rsidRPr="00DC547C">
        <w:t xml:space="preserve">. </w:t>
      </w:r>
      <w:proofErr w:type="gramStart"/>
      <w:r w:rsidRPr="00DC547C">
        <w:t>Правомерность предъявления справки форме 086/у</w:t>
      </w:r>
      <w:r w:rsidR="00DC547C">
        <w:t xml:space="preserve"> подтверждает судебная практика.</w:t>
      </w:r>
      <w:proofErr w:type="gramEnd"/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Однако отметим, что встречаются </w:t>
      </w:r>
      <w:hyperlink r:id="rId24" w:anchor="/document/77454032/entry/0" w:history="1">
        <w:r w:rsidRPr="00DC547C">
          <w:rPr>
            <w:rStyle w:val="a3"/>
            <w:color w:val="auto"/>
            <w:u w:val="none"/>
          </w:rPr>
          <w:t>разъяснения</w:t>
        </w:r>
      </w:hyperlink>
      <w:r w:rsidRPr="00DC547C">
        <w:t> </w:t>
      </w:r>
      <w:proofErr w:type="spellStart"/>
      <w:r w:rsidRPr="00DC547C">
        <w:t>Роструда</w:t>
      </w:r>
      <w:proofErr w:type="spellEnd"/>
      <w:r w:rsidRPr="00DC547C">
        <w:t xml:space="preserve"> в </w:t>
      </w:r>
      <w:proofErr w:type="gramStart"/>
      <w:r w:rsidRPr="00DC547C">
        <w:t>которых</w:t>
      </w:r>
      <w:proofErr w:type="gramEnd"/>
      <w:r w:rsidRPr="00DC547C">
        <w:t xml:space="preserve"> говорится, что справка по </w:t>
      </w:r>
      <w:hyperlink r:id="rId25" w:anchor="/document/70877304/entry/178" w:history="1">
        <w:r w:rsidRPr="00DC547C">
          <w:rPr>
            <w:rStyle w:val="a3"/>
            <w:color w:val="auto"/>
            <w:u w:val="none"/>
          </w:rPr>
          <w:t>форме N 086/у</w:t>
        </w:r>
      </w:hyperlink>
      <w:r w:rsidRPr="00DC547C">
        <w:t> не заменяет обязательный медицинский осмотр при приеме на работу.</w:t>
      </w:r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Проведение предварительных медицинских осмотров работодатель обязан организовывать за счет собственных средств (</w:t>
      </w:r>
      <w:proofErr w:type="spellStart"/>
      <w:r w:rsidR="00DC547C" w:rsidRPr="00DC547C">
        <w:fldChar w:fldCharType="begin"/>
      </w:r>
      <w:r w:rsidR="00DC547C" w:rsidRPr="00DC547C">
        <w:instrText xml:space="preserve"> HYPERLINK "https://internet.garant.ru/" \l "/document/12125268/entry/212"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ст.ст</w:t>
      </w:r>
      <w:proofErr w:type="spellEnd"/>
      <w:r w:rsidRPr="00DC547C">
        <w:rPr>
          <w:rStyle w:val="a3"/>
          <w:color w:val="auto"/>
          <w:u w:val="none"/>
        </w:rPr>
        <w:t>. 212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, </w:t>
      </w:r>
      <w:hyperlink r:id="rId26" w:anchor="/document/12125268/entry/266" w:history="1">
        <w:r w:rsidRPr="00DC547C">
          <w:rPr>
            <w:rStyle w:val="a3"/>
            <w:color w:val="auto"/>
            <w:u w:val="none"/>
          </w:rPr>
          <w:t>266</w:t>
        </w:r>
      </w:hyperlink>
      <w:r w:rsidRPr="00DC547C">
        <w:t> ТК РФ), причем обязанность работодателя оплатить предварительный медицинский осмотр не зависит от результатов данного обследования и последующего заключения трудового договора.</w:t>
      </w:r>
    </w:p>
    <w:p w:rsidR="00D77812" w:rsidRP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Согласно </w:t>
      </w:r>
      <w:hyperlink r:id="rId27" w:anchor="/multilink/58072654/paragraph/9/number/0" w:history="1">
        <w:r w:rsidRPr="00DC547C">
          <w:rPr>
            <w:rStyle w:val="a3"/>
            <w:color w:val="auto"/>
            <w:u w:val="none"/>
          </w:rPr>
          <w:t>позиции</w:t>
        </w:r>
      </w:hyperlink>
      <w:r w:rsidRPr="00DC547C">
        <w:t> </w:t>
      </w:r>
      <w:proofErr w:type="spellStart"/>
      <w:r w:rsidRPr="00DC547C">
        <w:t>Роструда</w:t>
      </w:r>
      <w:proofErr w:type="spellEnd"/>
      <w:r w:rsidRPr="00DC547C">
        <w:t xml:space="preserve"> работодатель самостоятельно определяет место прохождения обязательных медосмотров работниками путем заключения договора с медицинской организацией. Без направления работодателя работник вправе пройти медицинский осмотр в любой медицинской организации, однако в таком случае работодатель будет не обязан принимать у него медицинское заключение. Если медицинский осмотр был пройден соискателем за свой счет, он вправе требовать от работодателя </w:t>
      </w:r>
      <w:r w:rsidR="00DC547C">
        <w:t>возмещения понесенных расходов.</w:t>
      </w:r>
    </w:p>
    <w:p w:rsidR="00CF12B2" w:rsidRPr="00DC547C" w:rsidRDefault="00D77812" w:rsidP="00DC547C">
      <w:pPr>
        <w:pStyle w:val="s1"/>
        <w:shd w:val="clear" w:color="auto" w:fill="FFFFFF"/>
        <w:ind w:firstLine="709"/>
        <w:jc w:val="both"/>
      </w:pPr>
      <w:r w:rsidRPr="00DC547C">
        <w:t>Прием на работу несовершеннолетних без прохождения предварительного медосмотра может повлечь привлечение к административной ответственности (</w:t>
      </w:r>
      <w:proofErr w:type="spellStart"/>
      <w:r w:rsidR="00DC547C" w:rsidRPr="00DC547C">
        <w:fldChar w:fldCharType="begin"/>
      </w:r>
      <w:r w:rsidR="00DC547C" w:rsidRPr="00DC547C">
        <w:instrText xml:space="preserve"> HYPERLINK </w:instrText>
      </w:r>
      <w:r w:rsidR="00DC547C" w:rsidRPr="00DC547C">
        <w:instrText xml:space="preserve">"https://internet.garant.ru/" \l "/document/12125267/entry/52713" </w:instrText>
      </w:r>
      <w:r w:rsidR="00DC547C" w:rsidRPr="00DC547C">
        <w:fldChar w:fldCharType="separate"/>
      </w:r>
      <w:r w:rsidRPr="00DC547C">
        <w:rPr>
          <w:rStyle w:val="a3"/>
          <w:color w:val="auto"/>
          <w:u w:val="none"/>
        </w:rPr>
        <w:t>ч.ч</w:t>
      </w:r>
      <w:proofErr w:type="spellEnd"/>
      <w:r w:rsidRPr="00DC547C">
        <w:rPr>
          <w:rStyle w:val="a3"/>
          <w:color w:val="auto"/>
          <w:u w:val="none"/>
        </w:rPr>
        <w:t>. 3</w:t>
      </w:r>
      <w:r w:rsidR="00DC547C" w:rsidRPr="00DC547C">
        <w:rPr>
          <w:rStyle w:val="a3"/>
          <w:color w:val="auto"/>
          <w:u w:val="none"/>
        </w:rPr>
        <w:fldChar w:fldCharType="end"/>
      </w:r>
      <w:r w:rsidRPr="00DC547C">
        <w:t>, </w:t>
      </w:r>
      <w:hyperlink r:id="rId28" w:anchor="/document/12125267/entry/52715" w:history="1">
        <w:r w:rsidRPr="00DC547C">
          <w:rPr>
            <w:rStyle w:val="a3"/>
            <w:color w:val="auto"/>
            <w:u w:val="none"/>
          </w:rPr>
          <w:t>5 ст. 5.27.1</w:t>
        </w:r>
      </w:hyperlink>
      <w:r w:rsidRPr="00DC547C">
        <w:t>, </w:t>
      </w:r>
      <w:hyperlink r:id="rId29" w:anchor="/document/12125267/entry/63" w:history="1">
        <w:r w:rsidRPr="00DC547C">
          <w:rPr>
            <w:rStyle w:val="a3"/>
            <w:color w:val="auto"/>
            <w:u w:val="none"/>
          </w:rPr>
          <w:t>ст. 6.3</w:t>
        </w:r>
      </w:hyperlink>
      <w:r w:rsidR="00DC547C">
        <w:t xml:space="preserve"> КоАП РФ) </w:t>
      </w:r>
    </w:p>
    <w:sectPr w:rsidR="00CF12B2" w:rsidRPr="00DC547C" w:rsidSect="00DC547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2"/>
    <w:rsid w:val="006523A6"/>
    <w:rsid w:val="008639E8"/>
    <w:rsid w:val="00D77812"/>
    <w:rsid w:val="00D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D7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D7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Анастасия Андреевна</dc:creator>
  <cp:lastModifiedBy>Ефремова Анастасия Андреевна</cp:lastModifiedBy>
  <cp:revision>2</cp:revision>
  <dcterms:created xsi:type="dcterms:W3CDTF">2020-07-06T09:51:00Z</dcterms:created>
  <dcterms:modified xsi:type="dcterms:W3CDTF">2020-07-06T10:05:00Z</dcterms:modified>
</cp:coreProperties>
</file>