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1E" w:rsidRPr="00FA0963" w:rsidRDefault="0075311E" w:rsidP="0075311E">
      <w:pPr>
        <w:jc w:val="center"/>
        <w:rPr>
          <w:rFonts w:ascii="Times New Roman" w:hAnsi="Times New Roman" w:cs="Times New Roman"/>
          <w:sz w:val="28"/>
          <w:szCs w:val="28"/>
        </w:rPr>
      </w:pPr>
      <w:r w:rsidRPr="00FA0963">
        <w:rPr>
          <w:rFonts w:ascii="Times New Roman" w:hAnsi="Times New Roman" w:cs="Times New Roman"/>
          <w:b/>
          <w:bCs/>
          <w:sz w:val="28"/>
          <w:szCs w:val="28"/>
        </w:rPr>
        <w:t>Три сособственника (по 1/3 доле у каждого) продают жилой дом (в собственности менее трех лет) за 2 000 000 рублей, заключая сделку купли-продажи одним договором. Право у продавцов возникло на основании договора дарения и наследования.</w:t>
      </w:r>
    </w:p>
    <w:p w:rsidR="0075311E" w:rsidRPr="00FA0963" w:rsidRDefault="0075311E" w:rsidP="00FA0963">
      <w:pPr>
        <w:ind w:firstLine="709"/>
        <w:jc w:val="both"/>
        <w:rPr>
          <w:rFonts w:ascii="Times New Roman" w:hAnsi="Times New Roman" w:cs="Times New Roman"/>
        </w:rPr>
      </w:pPr>
      <w:r w:rsidRPr="00FA0963">
        <w:rPr>
          <w:rFonts w:ascii="Times New Roman" w:hAnsi="Times New Roman" w:cs="Times New Roman"/>
          <w:b/>
          <w:bCs/>
        </w:rPr>
        <w:t>Будут ли собственники уплачивать налог с продажи?</w:t>
      </w:r>
    </w:p>
    <w:p w:rsidR="0075311E" w:rsidRPr="00FA0963" w:rsidRDefault="0075311E" w:rsidP="00FA0963">
      <w:pPr>
        <w:ind w:firstLine="709"/>
        <w:jc w:val="both"/>
        <w:rPr>
          <w:rFonts w:ascii="Times New Roman" w:hAnsi="Times New Roman" w:cs="Times New Roman"/>
        </w:rPr>
      </w:pPr>
      <w:r w:rsidRPr="00FA0963">
        <w:rPr>
          <w:rFonts w:ascii="Times New Roman" w:hAnsi="Times New Roman" w:cs="Times New Roman"/>
        </w:rPr>
        <w:t>Каких-либо существенных изменений относительно ситуации, когда недвижимость продается одним договором, в последнее время не было.</w:t>
      </w:r>
    </w:p>
    <w:p w:rsidR="0075311E" w:rsidRPr="00FA0963" w:rsidRDefault="0075311E" w:rsidP="00FA0963">
      <w:pPr>
        <w:ind w:firstLine="709"/>
        <w:jc w:val="both"/>
        <w:rPr>
          <w:rFonts w:ascii="Times New Roman" w:hAnsi="Times New Roman" w:cs="Times New Roman"/>
        </w:rPr>
      </w:pPr>
      <w:r w:rsidRPr="00FA0963">
        <w:rPr>
          <w:rFonts w:ascii="Times New Roman" w:hAnsi="Times New Roman" w:cs="Times New Roman"/>
        </w:rPr>
        <w:t>При реализации имущества, находящегося в общей долевой либо общей совместной собственности, размер имущественного налогового вычета распределялся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 в соответствии с </w:t>
      </w:r>
      <w:proofErr w:type="spellStart"/>
      <w:r w:rsidRPr="00FA0963">
        <w:rPr>
          <w:rFonts w:ascii="Times New Roman" w:hAnsi="Times New Roman" w:cs="Times New Roman"/>
        </w:rPr>
        <w:fldChar w:fldCharType="begin"/>
      </w:r>
      <w:r w:rsidRPr="00FA0963">
        <w:rPr>
          <w:rFonts w:ascii="Times New Roman" w:hAnsi="Times New Roman" w:cs="Times New Roman"/>
        </w:rPr>
        <w:instrText xml:space="preserve"> HYPERLINK "https://internet.garant.ru/" \l "/document/10900200/entry/220023" </w:instrText>
      </w:r>
      <w:r w:rsidRPr="00FA0963">
        <w:rPr>
          <w:rFonts w:ascii="Times New Roman" w:hAnsi="Times New Roman" w:cs="Times New Roman"/>
        </w:rPr>
        <w:fldChar w:fldCharType="separate"/>
      </w:r>
      <w:r w:rsidRPr="00FA0963">
        <w:rPr>
          <w:rStyle w:val="a3"/>
          <w:rFonts w:ascii="Times New Roman" w:hAnsi="Times New Roman" w:cs="Times New Roman"/>
          <w:color w:val="auto"/>
          <w:u w:val="none"/>
        </w:rPr>
        <w:t>пп</w:t>
      </w:r>
      <w:proofErr w:type="spellEnd"/>
      <w:r w:rsidRPr="00FA0963">
        <w:rPr>
          <w:rStyle w:val="a3"/>
          <w:rFonts w:ascii="Times New Roman" w:hAnsi="Times New Roman" w:cs="Times New Roman"/>
          <w:color w:val="auto"/>
          <w:u w:val="none"/>
        </w:rPr>
        <w:t>. 3 п. 2 ст. 220</w:t>
      </w:r>
      <w:r w:rsidRPr="00FA0963">
        <w:rPr>
          <w:rFonts w:ascii="Times New Roman" w:hAnsi="Times New Roman" w:cs="Times New Roman"/>
        </w:rPr>
        <w:fldChar w:fldCharType="end"/>
      </w:r>
      <w:r w:rsidRPr="00FA0963">
        <w:rPr>
          <w:rFonts w:ascii="Times New Roman" w:hAnsi="Times New Roman" w:cs="Times New Roman"/>
        </w:rPr>
        <w:t> НК РФ.</w:t>
      </w:r>
    </w:p>
    <w:p w:rsidR="0075311E" w:rsidRPr="00FA0963" w:rsidRDefault="0075311E" w:rsidP="00FA0963">
      <w:pPr>
        <w:ind w:firstLine="709"/>
        <w:jc w:val="both"/>
        <w:rPr>
          <w:rFonts w:ascii="Times New Roman" w:hAnsi="Times New Roman" w:cs="Times New Roman"/>
        </w:rPr>
      </w:pPr>
      <w:r w:rsidRPr="00FA0963">
        <w:rPr>
          <w:rFonts w:ascii="Times New Roman" w:hAnsi="Times New Roman" w:cs="Times New Roman"/>
        </w:rPr>
        <w:t xml:space="preserve">Таким образом, при продаже имущества, находившегося в общей долевой либо общей совместной собственности менее трех лет, каждый из налогоплательщиков имеет право на получение имущественного налогового вычета, пропорционального его доле в праве собственности на реализуемое имущество. </w:t>
      </w:r>
    </w:p>
    <w:p w:rsidR="0075311E" w:rsidRPr="00FA0963" w:rsidRDefault="0075311E" w:rsidP="00FA0963">
      <w:pPr>
        <w:ind w:firstLine="709"/>
        <w:jc w:val="both"/>
        <w:rPr>
          <w:rFonts w:ascii="Times New Roman" w:hAnsi="Times New Roman" w:cs="Times New Roman"/>
        </w:rPr>
      </w:pPr>
      <w:r w:rsidRPr="00FA0963">
        <w:rPr>
          <w:rFonts w:ascii="Times New Roman" w:hAnsi="Times New Roman" w:cs="Times New Roman"/>
        </w:rPr>
        <w:t>Указанный механизм распределения вычета применяется в случае распоряжения имуществом, находящимся в общей долевой собственности, как единым объектом права собственности (</w:t>
      </w:r>
      <w:hyperlink r:id="rId5" w:anchor="/document/1786212/entry/1" w:history="1">
        <w:r w:rsidRPr="00FA0963">
          <w:rPr>
            <w:rStyle w:val="a3"/>
            <w:rFonts w:ascii="Times New Roman" w:hAnsi="Times New Roman" w:cs="Times New Roman"/>
            <w:color w:val="auto"/>
            <w:u w:val="none"/>
          </w:rPr>
          <w:t>п. 1</w:t>
        </w:r>
      </w:hyperlink>
      <w:r w:rsidRPr="00FA0963">
        <w:rPr>
          <w:rFonts w:ascii="Times New Roman" w:hAnsi="Times New Roman" w:cs="Times New Roman"/>
        </w:rPr>
        <w:t> постановления Конституционного Суда РФ от 13.03.2008 N 5-П).</w:t>
      </w:r>
    </w:p>
    <w:p w:rsidR="0075311E" w:rsidRPr="00FA0963" w:rsidRDefault="0075311E" w:rsidP="00FA0963">
      <w:pPr>
        <w:ind w:firstLine="709"/>
        <w:jc w:val="both"/>
        <w:rPr>
          <w:rFonts w:ascii="Times New Roman" w:hAnsi="Times New Roman" w:cs="Times New Roman"/>
        </w:rPr>
      </w:pPr>
      <w:r w:rsidRPr="00FA0963">
        <w:rPr>
          <w:rFonts w:ascii="Times New Roman" w:hAnsi="Times New Roman" w:cs="Times New Roman"/>
        </w:rPr>
        <w:t>Обратите внимание на </w:t>
      </w:r>
      <w:hyperlink r:id="rId6" w:anchor="/document/71372596/entry/0" w:history="1">
        <w:r w:rsidRPr="00FA0963">
          <w:rPr>
            <w:rStyle w:val="a3"/>
            <w:rFonts w:ascii="Times New Roman" w:hAnsi="Times New Roman" w:cs="Times New Roman"/>
            <w:color w:val="auto"/>
            <w:u w:val="none"/>
          </w:rPr>
          <w:t>письмо</w:t>
        </w:r>
      </w:hyperlink>
      <w:r w:rsidRPr="00FA0963">
        <w:rPr>
          <w:rFonts w:ascii="Times New Roman" w:hAnsi="Times New Roman" w:cs="Times New Roman"/>
        </w:rPr>
        <w:t> Минфина России от 04.04.2016 N 03-04-05/18915. В нем разъяснено, что согласно </w:t>
      </w:r>
      <w:hyperlink r:id="rId7" w:anchor="/document/10164072/entry/246" w:history="1">
        <w:r w:rsidRPr="00FA0963">
          <w:rPr>
            <w:rStyle w:val="a3"/>
            <w:rFonts w:ascii="Times New Roman" w:hAnsi="Times New Roman" w:cs="Times New Roman"/>
            <w:color w:val="auto"/>
            <w:u w:val="none"/>
          </w:rPr>
          <w:t>ст. 246</w:t>
        </w:r>
      </w:hyperlink>
      <w:r w:rsidRPr="00FA0963">
        <w:rPr>
          <w:rFonts w:ascii="Times New Roman" w:hAnsi="Times New Roman" w:cs="Times New Roman"/>
        </w:rPr>
        <w:t> ГК РФ распоряжение имуществом, находящимся в долевой собственности, осуществляется по соглашению всех ее участников. </w:t>
      </w:r>
      <w:hyperlink r:id="rId8" w:anchor="/document/10164072/entry/1" w:history="1">
        <w:r w:rsidRPr="00FA0963">
          <w:rPr>
            <w:rStyle w:val="a3"/>
            <w:rFonts w:ascii="Times New Roman" w:hAnsi="Times New Roman" w:cs="Times New Roman"/>
            <w:color w:val="auto"/>
            <w:u w:val="none"/>
          </w:rPr>
          <w:t>Статьями 1</w:t>
        </w:r>
      </w:hyperlink>
      <w:r w:rsidRPr="00FA0963">
        <w:rPr>
          <w:rFonts w:ascii="Times New Roman" w:hAnsi="Times New Roman" w:cs="Times New Roman"/>
        </w:rPr>
        <w:t> и </w:t>
      </w:r>
      <w:hyperlink r:id="rId9" w:anchor="/document/10164072/entry/421" w:history="1">
        <w:r w:rsidRPr="00FA0963">
          <w:rPr>
            <w:rStyle w:val="a3"/>
            <w:rFonts w:ascii="Times New Roman" w:hAnsi="Times New Roman" w:cs="Times New Roman"/>
            <w:color w:val="auto"/>
            <w:u w:val="none"/>
          </w:rPr>
          <w:t>421</w:t>
        </w:r>
      </w:hyperlink>
      <w:r w:rsidRPr="00FA0963">
        <w:rPr>
          <w:rFonts w:ascii="Times New Roman" w:hAnsi="Times New Roman" w:cs="Times New Roman"/>
        </w:rPr>
        <w:t> ГК РФ предусмотрено, что граждане свободны в установлении своих прав и обязанностей на основе договора и в определении любых не противоречащих законодательству условий договора. То есть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Таким образом, физические лица вправе определить любой порядок распределения между ними доходов от продажи квартиры, находящейся в их общей долевой собственности, независимо от размера их долей в праве собственности и учитывать соответствующие суммы дохода при определении налоговой базы по НДФЛ.</w:t>
      </w:r>
    </w:p>
    <w:p w:rsidR="006B39A9" w:rsidRPr="00FA0963" w:rsidRDefault="0075311E" w:rsidP="00FA0963">
      <w:pPr>
        <w:ind w:firstLine="709"/>
        <w:jc w:val="both"/>
        <w:rPr>
          <w:rFonts w:ascii="Times New Roman" w:hAnsi="Times New Roman" w:cs="Times New Roman"/>
        </w:rPr>
      </w:pPr>
      <w:r w:rsidRPr="00FA0963">
        <w:rPr>
          <w:rFonts w:ascii="Times New Roman" w:hAnsi="Times New Roman" w:cs="Times New Roman"/>
        </w:rPr>
        <w:t>В случае продажи налогоплательщиком своей доли в квартире или жилом доме, находящейся в его собственности менее трех лет, при сохранении других долей в собственности прежних владельцев, то есть при реализации реальной выделенной доли в недвижимом имуществе (с соблюдением ограничений, установленных жилищным законо</w:t>
      </w:r>
      <w:bookmarkStart w:id="0" w:name="_GoBack"/>
      <w:bookmarkEnd w:id="0"/>
      <w:r w:rsidRPr="00FA0963">
        <w:rPr>
          <w:rFonts w:ascii="Times New Roman" w:hAnsi="Times New Roman" w:cs="Times New Roman"/>
        </w:rPr>
        <w:t>дательством), как самостоятельного объекта, ему может быть предоставлен имущественный налоговый вычет в сумме, не превышающей в налоговом периоде 1 000 000 руб. (</w:t>
      </w:r>
      <w:hyperlink r:id="rId10" w:anchor="/document/1786212/entry/41" w:history="1">
        <w:r w:rsidRPr="00FA0963">
          <w:rPr>
            <w:rStyle w:val="a3"/>
            <w:rFonts w:ascii="Times New Roman" w:hAnsi="Times New Roman" w:cs="Times New Roman"/>
            <w:color w:val="auto"/>
            <w:u w:val="none"/>
          </w:rPr>
          <w:t>п. 4.1</w:t>
        </w:r>
      </w:hyperlink>
      <w:r w:rsidRPr="00FA0963">
        <w:rPr>
          <w:rFonts w:ascii="Times New Roman" w:hAnsi="Times New Roman" w:cs="Times New Roman"/>
        </w:rPr>
        <w:t> постановления КС РФ от 13.03.2008 N 5-П). Важно, что речь в этом случае идет о выделенных в натуре долях, признаваемых объектом индивидуальной, а не общей долевой собственности. Попытка объяснить эту разницу предпринята также в </w:t>
      </w:r>
      <w:hyperlink r:id="rId11" w:anchor="/document/70834304/entry/0" w:history="1">
        <w:r w:rsidRPr="00FA0963">
          <w:rPr>
            <w:rStyle w:val="a3"/>
            <w:rFonts w:ascii="Times New Roman" w:hAnsi="Times New Roman" w:cs="Times New Roman"/>
            <w:color w:val="auto"/>
            <w:u w:val="none"/>
          </w:rPr>
          <w:t>определении</w:t>
        </w:r>
      </w:hyperlink>
      <w:r w:rsidRPr="00FA0963">
        <w:rPr>
          <w:rFonts w:ascii="Times New Roman" w:hAnsi="Times New Roman" w:cs="Times New Roman"/>
        </w:rPr>
        <w:t xml:space="preserve"> ВС РФ от 22.12.2014 N 306-КГ14-2867. </w:t>
      </w:r>
      <w:proofErr w:type="gramStart"/>
      <w:r w:rsidRPr="00FA0963">
        <w:rPr>
          <w:rFonts w:ascii="Times New Roman" w:hAnsi="Times New Roman" w:cs="Times New Roman"/>
        </w:rPr>
        <w:t xml:space="preserve">То есть в случае, если предметом договора является продажа доли в праве собственности на квартиру как самостоятельного объекта купли-продажи, имущественный налоговый вычет предоставляется владельцу доли в сумме, не превышающей 1 000 000 руб. </w:t>
      </w:r>
      <w:proofErr w:type="gramEnd"/>
    </w:p>
    <w:sectPr w:rsidR="006B39A9" w:rsidRPr="00FA0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D8"/>
    <w:rsid w:val="004750D8"/>
    <w:rsid w:val="006B39A9"/>
    <w:rsid w:val="0075311E"/>
    <w:rsid w:val="00FA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1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Сырф Галина Трофимовна</dc:creator>
  <cp:keywords/>
  <dc:description/>
  <cp:lastModifiedBy>Ефремова Анастасия Андреевна</cp:lastModifiedBy>
  <cp:revision>3</cp:revision>
  <dcterms:created xsi:type="dcterms:W3CDTF">2020-07-06T09:45:00Z</dcterms:created>
  <dcterms:modified xsi:type="dcterms:W3CDTF">2020-07-06T10:27:00Z</dcterms:modified>
</cp:coreProperties>
</file>